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FE9" w:rsidRDefault="00F20FE9" w:rsidP="00F20FE9">
      <w:pPr>
        <w:pStyle w:val="1"/>
      </w:pPr>
      <w:r>
        <w:t>(464-06-2 )三甲基丁烷的理化及危险特性表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F20FE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标</w:t>
            </w:r>
          </w:p>
          <w:p w:rsidR="00F20FE9" w:rsidRDefault="00F20FE9" w:rsidP="0090435F">
            <w:pPr>
              <w:spacing w:line="252"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中文名：</w:t>
            </w:r>
            <w:r>
              <w:rPr>
                <w:rFonts w:ascii="宋体" w:hAnsi="宋体" w:hint="eastAsia"/>
                <w:szCs w:val="18"/>
              </w:rPr>
              <w:t>三甲基丁烷；五甲基乙烷</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spacing w:val="-12"/>
              </w:rPr>
            </w:pPr>
            <w:r>
              <w:rPr>
                <w:rFonts w:ascii="宋体" w:hAnsi="宋体" w:hint="eastAsia"/>
                <w:spacing w:val="-12"/>
              </w:rPr>
              <w:t>英文名</w:t>
            </w:r>
            <w:r>
              <w:rPr>
                <w:rFonts w:ascii="宋体" w:hAnsi="宋体" w:hint="eastAsia"/>
                <w:spacing w:val="-12"/>
                <w:lang w:val="en-GB"/>
              </w:rPr>
              <w:t>：</w:t>
            </w:r>
            <w:r>
              <w:rPr>
                <w:rFonts w:ascii="宋体" w:hAnsi="宋体" w:hint="eastAsia"/>
                <w:spacing w:val="-12"/>
                <w:szCs w:val="18"/>
              </w:rPr>
              <w:t>2,2,3-trimethyl butane</w:t>
            </w:r>
            <w:r>
              <w:rPr>
                <w:rFonts w:ascii="宋体" w:hAnsi="宋体" w:hint="eastAsia"/>
                <w:spacing w:val="-12"/>
                <w:szCs w:val="18"/>
                <w:lang w:val="en-GB"/>
              </w:rPr>
              <w:t>；</w:t>
            </w:r>
            <w:r>
              <w:rPr>
                <w:rFonts w:ascii="宋体" w:hAnsi="宋体" w:hint="eastAsia"/>
                <w:spacing w:val="-12"/>
                <w:szCs w:val="18"/>
              </w:rPr>
              <w:t>pentamethyl ethane</w:t>
            </w:r>
          </w:p>
        </w:tc>
      </w:tr>
      <w:tr w:rsidR="00F20FE9" w:rsidTr="0090435F">
        <w:trPr>
          <w:cantSplit/>
          <w:jc w:val="center"/>
        </w:trPr>
        <w:tc>
          <w:tcPr>
            <w:tcW w:w="489" w:type="dxa"/>
            <w:vMerge/>
            <w:tcBorders>
              <w:left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16</w:t>
            </w:r>
          </w:p>
        </w:tc>
        <w:tc>
          <w:tcPr>
            <w:tcW w:w="2696"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FF6600"/>
              </w:rPr>
            </w:pPr>
            <w:r>
              <w:rPr>
                <w:rFonts w:ascii="宋体" w:hAnsi="宋体" w:hint="eastAsia"/>
              </w:rPr>
              <w:t>分子量：100.21</w:t>
            </w:r>
          </w:p>
        </w:tc>
        <w:tc>
          <w:tcPr>
            <w:tcW w:w="2170"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UN编号：1026</w:t>
            </w:r>
          </w:p>
        </w:tc>
      </w:tr>
      <w:tr w:rsidR="00F20FE9" w:rsidTr="0090435F">
        <w:trPr>
          <w:cantSplit/>
          <w:jc w:val="center"/>
        </w:trPr>
        <w:tc>
          <w:tcPr>
            <w:tcW w:w="489" w:type="dxa"/>
            <w:vMerge/>
            <w:tcBorders>
              <w:left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危险类别：第3.2类  中闪点易燃液体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危规号： 32007</w:t>
            </w:r>
          </w:p>
        </w:tc>
        <w:tc>
          <w:tcPr>
            <w:tcW w:w="2170"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CAS号：</w:t>
            </w:r>
            <w:r>
              <w:rPr>
                <w:rFonts w:ascii="宋体" w:hAnsi="宋体" w:hint="eastAsia"/>
                <w:szCs w:val="18"/>
              </w:rPr>
              <w:t>464-06-2 </w:t>
            </w:r>
          </w:p>
        </w:tc>
      </w:tr>
      <w:tr w:rsidR="00F20FE9" w:rsidTr="0090435F">
        <w:trPr>
          <w:cantSplit/>
          <w:jc w:val="center"/>
        </w:trPr>
        <w:tc>
          <w:tcPr>
            <w:tcW w:w="489" w:type="dxa"/>
            <w:vMerge/>
            <w:tcBorders>
              <w:left w:val="single" w:sz="4" w:space="0" w:color="auto"/>
              <w:bottom w:val="nil"/>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包装类别：</w:t>
            </w:r>
          </w:p>
        </w:tc>
      </w:tr>
      <w:tr w:rsidR="00F20FE9"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理</w:t>
            </w:r>
          </w:p>
          <w:p w:rsidR="00F20FE9" w:rsidRDefault="00F20FE9" w:rsidP="0090435F">
            <w:pPr>
              <w:spacing w:line="252" w:lineRule="exact"/>
              <w:rPr>
                <w:rFonts w:ascii="宋体" w:hAnsi="宋体"/>
              </w:rPr>
            </w:pPr>
            <w:r>
              <w:rPr>
                <w:rFonts w:ascii="宋体" w:hAnsi="宋体" w:hint="eastAsia"/>
              </w:rPr>
              <w:t>化</w:t>
            </w:r>
          </w:p>
          <w:p w:rsidR="00F20FE9" w:rsidRDefault="00F20FE9" w:rsidP="0090435F">
            <w:pPr>
              <w:spacing w:line="252" w:lineRule="exact"/>
              <w:rPr>
                <w:rFonts w:ascii="宋体" w:hAnsi="宋体"/>
              </w:rPr>
            </w:pPr>
            <w:r>
              <w:rPr>
                <w:rFonts w:ascii="宋体" w:hAnsi="宋体" w:hint="eastAsia"/>
              </w:rPr>
              <w:t>性</w:t>
            </w:r>
          </w:p>
          <w:p w:rsidR="00F20FE9" w:rsidRDefault="00F20FE9" w:rsidP="0090435F">
            <w:pPr>
              <w:spacing w:line="25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外观与性状：</w:t>
            </w:r>
            <w:r>
              <w:rPr>
                <w:rFonts w:ascii="宋体" w:hAnsi="宋体" w:hint="eastAsia"/>
                <w:szCs w:val="18"/>
              </w:rPr>
              <w:t>无色液体，有刺激性气味。</w:t>
            </w:r>
          </w:p>
        </w:tc>
      </w:tr>
      <w:tr w:rsidR="00F20FE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溶解性：</w:t>
            </w:r>
            <w:r>
              <w:rPr>
                <w:rFonts w:ascii="宋体" w:hAnsi="宋体" w:hint="eastAsia"/>
                <w:szCs w:val="18"/>
              </w:rPr>
              <w:t>不溶于水，可混溶于多数有机溶剂。</w:t>
            </w:r>
          </w:p>
        </w:tc>
      </w:tr>
      <w:tr w:rsidR="00F20FE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熔点（℃）：-24.9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沸点（℃）：</w:t>
            </w:r>
            <w:r>
              <w:rPr>
                <w:rFonts w:ascii="宋体" w:hAnsi="宋体" w:hint="eastAsia"/>
                <w:szCs w:val="18"/>
              </w:rPr>
              <w:t>81.0</w:t>
            </w:r>
          </w:p>
        </w:tc>
      </w:tr>
      <w:tr w:rsidR="00F20FE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相对密度（水＝1）：</w:t>
            </w:r>
            <w:r>
              <w:rPr>
                <w:rFonts w:ascii="宋体" w:hAnsi="宋体" w:hint="eastAsia"/>
                <w:szCs w:val="18"/>
              </w:rPr>
              <w:t>0.6901</w:t>
            </w:r>
            <w:r>
              <w:rPr>
                <w:rFonts w:ascii="宋体" w:hAnsi="宋体" w:hint="eastAsia"/>
                <w:color w:val="000000"/>
              </w:rPr>
              <w:t>（20℃）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相对密度（空气＝1）：3.46</w:t>
            </w:r>
          </w:p>
        </w:tc>
      </w:tr>
      <w:tr w:rsidR="00F20FE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燃烧热（kJ/mol）：</w:t>
            </w:r>
            <w:r>
              <w:rPr>
                <w:rFonts w:ascii="宋体" w:hAnsi="宋体" w:hint="eastAsia"/>
                <w:szCs w:val="18"/>
              </w:rPr>
              <w:t>4806(液)</w:t>
            </w:r>
          </w:p>
        </w:tc>
      </w:tr>
      <w:tr w:rsidR="00F20FE9"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临界温度：258.3</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临界压力（MPa）：3012</w:t>
            </w:r>
          </w:p>
        </w:tc>
      </w:tr>
      <w:tr w:rsidR="00F20FE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燃</w:t>
            </w:r>
          </w:p>
          <w:p w:rsidR="00F20FE9" w:rsidRDefault="00F20FE9" w:rsidP="0090435F">
            <w:pPr>
              <w:spacing w:line="252" w:lineRule="exact"/>
              <w:rPr>
                <w:rFonts w:ascii="宋体" w:hAnsi="宋体"/>
              </w:rPr>
            </w:pPr>
            <w:r>
              <w:rPr>
                <w:rFonts w:ascii="宋体" w:hAnsi="宋体" w:hint="eastAsia"/>
              </w:rPr>
              <w:t>烧</w:t>
            </w:r>
          </w:p>
          <w:p w:rsidR="00F20FE9" w:rsidRDefault="00F20FE9" w:rsidP="0090435F">
            <w:pPr>
              <w:spacing w:line="252" w:lineRule="exact"/>
              <w:rPr>
                <w:rFonts w:ascii="宋体" w:hAnsi="宋体"/>
              </w:rPr>
            </w:pPr>
            <w:r>
              <w:rPr>
                <w:rFonts w:ascii="宋体" w:hAnsi="宋体" w:hint="eastAsia"/>
              </w:rPr>
              <w:t>爆</w:t>
            </w:r>
          </w:p>
          <w:p w:rsidR="00F20FE9" w:rsidRDefault="00F20FE9" w:rsidP="0090435F">
            <w:pPr>
              <w:spacing w:line="252" w:lineRule="exact"/>
              <w:rPr>
                <w:rFonts w:ascii="宋体" w:hAnsi="宋体"/>
              </w:rPr>
            </w:pPr>
            <w:r>
              <w:rPr>
                <w:rFonts w:ascii="宋体" w:hAnsi="宋体" w:hint="eastAsia"/>
              </w:rPr>
              <w:t>炸</w:t>
            </w:r>
          </w:p>
          <w:p w:rsidR="00F20FE9" w:rsidRDefault="00F20FE9" w:rsidP="0090435F">
            <w:pPr>
              <w:spacing w:line="252" w:lineRule="exact"/>
              <w:rPr>
                <w:rFonts w:ascii="宋体" w:hAnsi="宋体"/>
              </w:rPr>
            </w:pPr>
            <w:r>
              <w:rPr>
                <w:rFonts w:ascii="宋体" w:hAnsi="宋体" w:hint="eastAsia"/>
              </w:rPr>
              <w:t>危</w:t>
            </w:r>
          </w:p>
          <w:p w:rsidR="00F20FE9" w:rsidRDefault="00F20FE9" w:rsidP="0090435F">
            <w:pPr>
              <w:spacing w:line="252" w:lineRule="exact"/>
              <w:rPr>
                <w:rFonts w:ascii="宋体" w:hAnsi="宋体"/>
              </w:rPr>
            </w:pPr>
            <w:r>
              <w:rPr>
                <w:rFonts w:ascii="宋体" w:hAnsi="宋体" w:hint="eastAsia"/>
              </w:rPr>
              <w:t>险</w:t>
            </w:r>
          </w:p>
          <w:p w:rsidR="00F20FE9" w:rsidRDefault="00F20FE9" w:rsidP="0090435F">
            <w:pPr>
              <w:spacing w:line="252"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闪点（℃）：＜0</w:t>
            </w:r>
          </w:p>
        </w:tc>
      </w:tr>
      <w:tr w:rsidR="00F20FE9" w:rsidTr="0090435F">
        <w:trPr>
          <w:cantSplit/>
          <w:jc w:val="center"/>
        </w:trPr>
        <w:tc>
          <w:tcPr>
            <w:tcW w:w="489" w:type="dxa"/>
            <w:vMerge/>
            <w:tcBorders>
              <w:top w:val="single" w:sz="4" w:space="0" w:color="auto"/>
              <w:left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vertAlign w:val="superscript"/>
              </w:rPr>
            </w:pPr>
            <w:r>
              <w:rPr>
                <w:rFonts w:ascii="宋体" w:hAnsi="宋体" w:hint="eastAsia"/>
                <w:color w:val="000000"/>
              </w:rPr>
              <w:t>爆炸下限（%）：无资料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爆炸上限（%）：无资料</w:t>
            </w:r>
          </w:p>
        </w:tc>
      </w:tr>
      <w:tr w:rsidR="00F20FE9" w:rsidTr="0090435F">
        <w:trPr>
          <w:cantSplit/>
          <w:jc w:val="center"/>
        </w:trPr>
        <w:tc>
          <w:tcPr>
            <w:tcW w:w="489" w:type="dxa"/>
            <w:vMerge/>
            <w:tcBorders>
              <w:top w:val="single" w:sz="4" w:space="0" w:color="auto"/>
              <w:left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引燃温度（℃）：450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最小点火能（mJ）：无资料</w:t>
            </w:r>
          </w:p>
        </w:tc>
      </w:tr>
      <w:tr w:rsidR="00F20FE9" w:rsidTr="0090435F">
        <w:trPr>
          <w:cantSplit/>
          <w:jc w:val="center"/>
        </w:trPr>
        <w:tc>
          <w:tcPr>
            <w:tcW w:w="489" w:type="dxa"/>
            <w:vMerge/>
            <w:tcBorders>
              <w:left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 xml:space="preserve">稳定性： </w:t>
            </w:r>
          </w:p>
        </w:tc>
      </w:tr>
      <w:tr w:rsidR="00F20FE9" w:rsidTr="0090435F">
        <w:trPr>
          <w:cantSplit/>
          <w:jc w:val="center"/>
        </w:trPr>
        <w:tc>
          <w:tcPr>
            <w:tcW w:w="489" w:type="dxa"/>
            <w:vMerge/>
            <w:tcBorders>
              <w:left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rPr>
            </w:pPr>
            <w:r>
              <w:rPr>
                <w:rFonts w:ascii="宋体" w:hAnsi="宋体" w:hint="eastAsia"/>
                <w:color w:val="000000"/>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F20FE9" w:rsidTr="0090435F">
        <w:trPr>
          <w:cantSplit/>
          <w:jc w:val="center"/>
        </w:trPr>
        <w:tc>
          <w:tcPr>
            <w:tcW w:w="489" w:type="dxa"/>
            <w:vMerge/>
            <w:tcBorders>
              <w:left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szCs w:val="18"/>
              </w:rPr>
            </w:pPr>
            <w:r>
              <w:rPr>
                <w:rFonts w:ascii="宋体" w:hAnsi="宋体" w:hint="eastAsia"/>
                <w:szCs w:val="18"/>
              </w:rPr>
              <w:t>禁忌物：强氧化剂。</w:t>
            </w:r>
          </w:p>
        </w:tc>
      </w:tr>
      <w:tr w:rsidR="00F20FE9" w:rsidTr="0090435F">
        <w:trPr>
          <w:cantSplit/>
          <w:jc w:val="center"/>
        </w:trPr>
        <w:tc>
          <w:tcPr>
            <w:tcW w:w="489" w:type="dxa"/>
            <w:vMerge/>
            <w:tcBorders>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szCs w:val="18"/>
              </w:rPr>
            </w:pPr>
            <w:r>
              <w:rPr>
                <w:rFonts w:ascii="宋体" w:hAnsi="宋体" w:hint="eastAsia"/>
                <w:szCs w:val="18"/>
              </w:rPr>
              <w:t>危险特性: 其蒸气与空气可形成爆炸性混合物，遇明火、高热极易燃烧爆炸。与氧化剂接触猛烈反应。受高热分解放出有毒的气体。流速过快，容易产生和积聚静电。其蒸气比空气重，能在较低处扩散到相当远的地方，遇火源会着火回燃。若遇高热，容器内压增大，有开裂和爆炸的危险。</w:t>
            </w:r>
          </w:p>
        </w:tc>
      </w:tr>
      <w:tr w:rsidR="00F20FE9" w:rsidTr="0090435F">
        <w:trPr>
          <w:cantSplit/>
          <w:jc w:val="center"/>
        </w:trPr>
        <w:tc>
          <w:tcPr>
            <w:tcW w:w="489" w:type="dxa"/>
            <w:vMerge/>
            <w:tcBorders>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szCs w:val="18"/>
              </w:rPr>
            </w:pPr>
            <w:r>
              <w:rPr>
                <w:rFonts w:ascii="宋体" w:hAnsi="宋体" w:hint="eastAsia"/>
                <w:szCs w:val="18"/>
              </w:rPr>
              <w:t>灭火方法：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F20FE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毒</w:t>
            </w:r>
          </w:p>
          <w:p w:rsidR="00F20FE9" w:rsidRDefault="00F20FE9" w:rsidP="0090435F">
            <w:pPr>
              <w:spacing w:line="25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F20FE9" w:rsidRDefault="00F20FE9"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F20FE9"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侵入途经：吸入、食入、经皮吸收。</w:t>
            </w:r>
          </w:p>
        </w:tc>
      </w:tr>
      <w:tr w:rsidR="00F20FE9" w:rsidTr="0090435F">
        <w:trPr>
          <w:cantSplit/>
          <w:jc w:val="center"/>
        </w:trPr>
        <w:tc>
          <w:tcPr>
            <w:tcW w:w="489" w:type="dxa"/>
            <w:vMerge/>
            <w:tcBorders>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szCs w:val="18"/>
              </w:rPr>
              <w:t>可引起眩晕、共济失调；高浓度可致呼吸停止。对粘膜有刺激作用，皮肤接触可引起疼痛、灼伤。慢性作用，引起神经衰弱综合征和轻度的血液学改变。 </w:t>
            </w:r>
          </w:p>
        </w:tc>
      </w:tr>
      <w:tr w:rsidR="00F20FE9" w:rsidTr="0090435F">
        <w:trPr>
          <w:cantSplit/>
          <w:jc w:val="center"/>
        </w:trPr>
        <w:tc>
          <w:tcPr>
            <w:tcW w:w="489" w:type="dxa"/>
            <w:tcBorders>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急</w:t>
            </w:r>
          </w:p>
          <w:p w:rsidR="00F20FE9" w:rsidRDefault="00F20FE9" w:rsidP="0090435F">
            <w:pPr>
              <w:spacing w:line="25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皮肤接触：</w:t>
            </w:r>
            <w:r>
              <w:rPr>
                <w:rFonts w:ascii="宋体" w:hAnsi="宋体" w:hint="eastAsia"/>
                <w:szCs w:val="18"/>
              </w:rPr>
              <w:t>立即脱去污染的衣着，用大量流动清水冲洗。就医。</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F20FE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防</w:t>
            </w:r>
          </w:p>
          <w:p w:rsidR="00F20FE9" w:rsidRDefault="00F20FE9" w:rsidP="0090435F">
            <w:pPr>
              <w:spacing w:line="25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工</w:t>
            </w:r>
            <w:r>
              <w:rPr>
                <w:rFonts w:ascii="宋体" w:hAnsi="宋体" w:hint="eastAsia"/>
                <w:szCs w:val="18"/>
              </w:rPr>
              <w:t>程控制：密闭操作，局部排风。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：戴橡胶手套。   ※其它：工作场所禁止吸烟、进食和饮水，饭前要洗手。工作完毕，淋浴更衣。保持良好的卫生习惯。</w:t>
            </w:r>
          </w:p>
        </w:tc>
      </w:tr>
      <w:tr w:rsidR="00F20FE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泄</w:t>
            </w:r>
          </w:p>
          <w:p w:rsidR="00F20FE9" w:rsidRDefault="00F20FE9" w:rsidP="0090435F">
            <w:pPr>
              <w:spacing w:line="252" w:lineRule="exact"/>
              <w:rPr>
                <w:rFonts w:ascii="宋体" w:hAnsi="宋体"/>
              </w:rPr>
            </w:pPr>
            <w:r>
              <w:rPr>
                <w:rFonts w:ascii="宋体" w:hAnsi="宋体" w:hint="eastAsia"/>
              </w:rPr>
              <w:t>漏</w:t>
            </w:r>
          </w:p>
          <w:p w:rsidR="00F20FE9" w:rsidRDefault="00F20FE9" w:rsidP="0090435F">
            <w:pPr>
              <w:spacing w:line="252" w:lineRule="exact"/>
              <w:rPr>
                <w:rFonts w:ascii="宋体" w:hAnsi="宋体"/>
              </w:rPr>
            </w:pPr>
            <w:r>
              <w:rPr>
                <w:rFonts w:ascii="宋体" w:hAnsi="宋体" w:hint="eastAsia"/>
              </w:rPr>
              <w:t>处</w:t>
            </w:r>
          </w:p>
          <w:p w:rsidR="00F20FE9" w:rsidRDefault="00F20FE9" w:rsidP="0090435F">
            <w:pPr>
              <w:spacing w:line="25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F20FE9" w:rsidRDefault="00F20FE9" w:rsidP="0090435F">
            <w:pPr>
              <w:spacing w:line="252" w:lineRule="exact"/>
              <w:rPr>
                <w:rFonts w:ascii="宋体" w:hAnsi="宋体"/>
                <w:szCs w:val="18"/>
              </w:rPr>
            </w:pPr>
            <w:r>
              <w:rPr>
                <w:rFonts w:ascii="宋体" w:hAnsi="宋体" w:hint="eastAsia"/>
                <w:szCs w:val="18"/>
              </w:rPr>
              <w:t>迅速撤离泄漏污染区人员至安全区，并进行隔离，严格限制出入。切断火源。建议应急处理人员戴自给式呼吸器，穿全棉防毒服。不要直接接触泄漏物。尽可能切断泄漏源。防止流入下水道、排洪沟等限制性空间。小量泄漏：用砂土吸收。大量泄漏：构筑围堤或挖坑收容。用泡沫覆盖，降低蒸气灾害。用泵转移至槽车或专用收集器内，回收或运至废物处理场所处置。</w:t>
            </w:r>
          </w:p>
        </w:tc>
      </w:tr>
      <w:tr w:rsidR="00F20FE9" w:rsidTr="0090435F">
        <w:trPr>
          <w:cantSplit/>
          <w:jc w:val="center"/>
        </w:trPr>
        <w:tc>
          <w:tcPr>
            <w:tcW w:w="489" w:type="dxa"/>
            <w:tcBorders>
              <w:top w:val="single" w:sz="4" w:space="0" w:color="auto"/>
              <w:left w:val="single" w:sz="4" w:space="0" w:color="auto"/>
              <w:right w:val="single" w:sz="4" w:space="0" w:color="auto"/>
            </w:tcBorders>
            <w:vAlign w:val="center"/>
          </w:tcPr>
          <w:p w:rsidR="00F20FE9" w:rsidRDefault="00F20FE9" w:rsidP="0090435F">
            <w:pPr>
              <w:spacing w:line="252" w:lineRule="exact"/>
              <w:rPr>
                <w:rFonts w:ascii="宋体" w:hAnsi="宋体"/>
              </w:rPr>
            </w:pPr>
            <w:r>
              <w:rPr>
                <w:rFonts w:ascii="宋体" w:hAnsi="宋体" w:hint="eastAsia"/>
              </w:rPr>
              <w:t>储</w:t>
            </w:r>
          </w:p>
          <w:p w:rsidR="00F20FE9" w:rsidRDefault="00F20FE9" w:rsidP="0090435F">
            <w:pPr>
              <w:spacing w:line="25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F20FE9" w:rsidRDefault="00F20FE9" w:rsidP="0090435F">
            <w:pPr>
              <w:spacing w:line="252" w:lineRule="exact"/>
              <w:rPr>
                <w:rFonts w:ascii="宋体" w:hAnsi="宋体"/>
                <w:szCs w:val="18"/>
              </w:rPr>
            </w:pPr>
            <w:r>
              <w:rPr>
                <w:rFonts w:ascii="宋体" w:hAnsi="宋体" w:hint="eastAsia"/>
                <w:szCs w:val="18"/>
              </w:rPr>
              <w:t>储存于阴凉、通风的库房。远离火种、热源。防止阳光直射。库温不宜超过30℃。保持容器密封。应与氧化剂、食用化学品分开存放，切忌混储。采用防爆型照明、通风设施。禁止使用易产生火花的机械设备和工具。储区应备有泄漏应急处理设备和合适的收容材料。</w:t>
            </w:r>
          </w:p>
          <w:p w:rsidR="00F20FE9" w:rsidRDefault="00F20FE9" w:rsidP="0090435F">
            <w:pPr>
              <w:spacing w:line="25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E9"/>
    <w:rsid w:val="00E63B54"/>
    <w:rsid w:val="00F2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F65B6-F278-4A1B-84BE-68B8BEA3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F20FE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20FE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Company>zyhq</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